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AE" w:rsidRPr="002A24FA" w:rsidRDefault="005918AE" w:rsidP="002A24FA">
      <w:pPr>
        <w:spacing w:after="0"/>
        <w:ind w:left="3540" w:firstLine="708"/>
        <w:rPr>
          <w:rFonts w:ascii="Times New Roman" w:hAnsi="Times New Roman"/>
          <w:b/>
          <w:sz w:val="24"/>
          <w:szCs w:val="24"/>
          <w:lang w:val="en-US"/>
        </w:rPr>
      </w:pPr>
      <w:r w:rsidRPr="002A24FA">
        <w:rPr>
          <w:rFonts w:ascii="Times New Roman" w:hAnsi="Times New Roman"/>
          <w:b/>
          <w:sz w:val="24"/>
          <w:szCs w:val="24"/>
          <w:lang w:val="en-US"/>
        </w:rPr>
        <w:t>МОТИВИ</w:t>
      </w:r>
    </w:p>
    <w:p w:rsidR="00977A67" w:rsidRPr="002A24FA" w:rsidRDefault="00977A67" w:rsidP="002A24FA">
      <w:pPr>
        <w:spacing w:after="0"/>
        <w:ind w:left="3540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5918AE" w:rsidRPr="002A24FA" w:rsidRDefault="005918AE" w:rsidP="002A24FA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24FA">
        <w:rPr>
          <w:rFonts w:ascii="Times New Roman" w:hAnsi="Times New Roman"/>
          <w:b/>
          <w:sz w:val="24"/>
          <w:szCs w:val="24"/>
        </w:rPr>
        <w:t>К</w:t>
      </w:r>
      <w:r w:rsidRPr="002A24FA">
        <w:rPr>
          <w:rFonts w:ascii="Times New Roman" w:hAnsi="Times New Roman"/>
          <w:b/>
          <w:sz w:val="24"/>
          <w:szCs w:val="24"/>
          <w:lang w:val="en-US"/>
        </w:rPr>
        <w:t>ЪМ ПРОЕКТА НА ЗАКОН ЗА ДОПЪЛНЕНИЕ НА ГРАЖДАНСКИЯ ПРОЦЕСУАЛЕН КОДЕКС</w:t>
      </w:r>
    </w:p>
    <w:p w:rsidR="005918AE" w:rsidRPr="002A24FA" w:rsidRDefault="005918AE" w:rsidP="002A24F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7519" w:rsidRPr="002A24FA" w:rsidRDefault="005918AE" w:rsidP="002A24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24FA">
        <w:rPr>
          <w:rFonts w:ascii="Times New Roman" w:hAnsi="Times New Roman"/>
          <w:sz w:val="24"/>
          <w:szCs w:val="24"/>
        </w:rPr>
        <w:t xml:space="preserve">Предложеният законопроект предвижда изменения в </w:t>
      </w:r>
      <w:r w:rsidR="00837487" w:rsidRPr="002A24FA">
        <w:rPr>
          <w:rFonts w:ascii="Times New Roman" w:hAnsi="Times New Roman"/>
          <w:sz w:val="24"/>
          <w:szCs w:val="24"/>
        </w:rPr>
        <w:t>Ч</w:t>
      </w:r>
      <w:r w:rsidRPr="002A24FA">
        <w:rPr>
          <w:rFonts w:ascii="Times New Roman" w:hAnsi="Times New Roman"/>
          <w:sz w:val="24"/>
          <w:szCs w:val="24"/>
        </w:rPr>
        <w:t xml:space="preserve">аст седма </w:t>
      </w:r>
      <w:r w:rsidR="000D7519" w:rsidRPr="002A24FA">
        <w:rPr>
          <w:rFonts w:ascii="Times New Roman" w:hAnsi="Times New Roman"/>
          <w:sz w:val="24"/>
          <w:szCs w:val="24"/>
        </w:rPr>
        <w:t>на Гражданския процесуален кодекс (ГПК)</w:t>
      </w:r>
      <w:r w:rsidR="00A920BB" w:rsidRPr="002A24FA">
        <w:rPr>
          <w:rFonts w:ascii="Times New Roman" w:hAnsi="Times New Roman"/>
          <w:sz w:val="24"/>
          <w:szCs w:val="24"/>
        </w:rPr>
        <w:t xml:space="preserve"> </w:t>
      </w:r>
      <w:r w:rsidR="00B3342C" w:rsidRPr="002A24FA">
        <w:rPr>
          <w:rFonts w:ascii="Times New Roman" w:hAnsi="Times New Roman"/>
          <w:sz w:val="24"/>
          <w:szCs w:val="24"/>
        </w:rPr>
        <w:t>„Особени правила относно производството</w:t>
      </w:r>
      <w:r w:rsidR="00575B0B" w:rsidRPr="002A24FA">
        <w:rPr>
          <w:rFonts w:ascii="Times New Roman" w:hAnsi="Times New Roman"/>
          <w:sz w:val="24"/>
          <w:szCs w:val="24"/>
        </w:rPr>
        <w:t xml:space="preserve"> по граждански дела</w:t>
      </w:r>
      <w:r w:rsidRPr="002A24FA">
        <w:rPr>
          <w:rFonts w:ascii="Times New Roman" w:hAnsi="Times New Roman"/>
          <w:sz w:val="24"/>
          <w:szCs w:val="24"/>
        </w:rPr>
        <w:t xml:space="preserve"> при действие</w:t>
      </w:r>
      <w:r w:rsidR="00575B0B" w:rsidRPr="002A24FA">
        <w:rPr>
          <w:rFonts w:ascii="Times New Roman" w:hAnsi="Times New Roman"/>
          <w:sz w:val="24"/>
          <w:szCs w:val="24"/>
        </w:rPr>
        <w:t xml:space="preserve"> на правото на Европейския съюз</w:t>
      </w:r>
      <w:r w:rsidR="00B3342C" w:rsidRPr="002A24FA">
        <w:rPr>
          <w:rFonts w:ascii="Times New Roman" w:hAnsi="Times New Roman"/>
          <w:sz w:val="24"/>
          <w:szCs w:val="24"/>
        </w:rPr>
        <w:t>“</w:t>
      </w:r>
      <w:r w:rsidR="00883FA4" w:rsidRPr="002A24FA">
        <w:rPr>
          <w:rFonts w:ascii="Times New Roman" w:hAnsi="Times New Roman"/>
          <w:sz w:val="24"/>
          <w:szCs w:val="24"/>
        </w:rPr>
        <w:t xml:space="preserve"> във връзка с прилагането на </w:t>
      </w:r>
      <w:r w:rsidR="00883FA4" w:rsidRPr="002A24FA">
        <w:rPr>
          <w:rFonts w:ascii="Times New Roman" w:hAnsi="Times New Roman"/>
          <w:b/>
          <w:sz w:val="24"/>
          <w:szCs w:val="24"/>
        </w:rPr>
        <w:t>Регламент (ЕС) № 655/2014 на Европейския парламент и на Съвета от 15 май 2014 година за</w:t>
      </w:r>
      <w:r w:rsidR="00883FA4" w:rsidRPr="002A24FA">
        <w:rPr>
          <w:b/>
          <w:sz w:val="24"/>
          <w:szCs w:val="24"/>
        </w:rPr>
        <w:t xml:space="preserve"> </w:t>
      </w:r>
      <w:r w:rsidR="00883FA4" w:rsidRPr="002A24FA">
        <w:rPr>
          <w:rFonts w:ascii="Times New Roman" w:hAnsi="Times New Roman"/>
          <w:b/>
          <w:sz w:val="24"/>
          <w:szCs w:val="24"/>
        </w:rPr>
        <w:t>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</w:t>
      </w:r>
      <w:r w:rsidR="00C845EB" w:rsidRPr="002A24FA">
        <w:rPr>
          <w:rFonts w:ascii="Times New Roman" w:hAnsi="Times New Roman"/>
          <w:b/>
          <w:sz w:val="24"/>
          <w:szCs w:val="24"/>
        </w:rPr>
        <w:t xml:space="preserve"> (Регламент (ЕС) № 655/2014)</w:t>
      </w:r>
      <w:r w:rsidR="000D7519" w:rsidRPr="002A24FA">
        <w:rPr>
          <w:rFonts w:ascii="Times New Roman" w:hAnsi="Times New Roman"/>
          <w:b/>
          <w:sz w:val="24"/>
          <w:szCs w:val="24"/>
        </w:rPr>
        <w:t>.</w:t>
      </w:r>
    </w:p>
    <w:p w:rsidR="00B3342C" w:rsidRPr="002A24FA" w:rsidRDefault="00B3342C" w:rsidP="002A24F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24FA">
        <w:rPr>
          <w:rFonts w:ascii="Times New Roman" w:hAnsi="Times New Roman"/>
          <w:sz w:val="24"/>
          <w:szCs w:val="24"/>
        </w:rPr>
        <w:t>Регламент (ЕС) № 655</w:t>
      </w:r>
      <w:r w:rsidR="00977A67" w:rsidRPr="002A24FA">
        <w:rPr>
          <w:rFonts w:ascii="Times New Roman" w:hAnsi="Times New Roman"/>
          <w:sz w:val="24"/>
          <w:szCs w:val="24"/>
        </w:rPr>
        <w:t>/2014</w:t>
      </w:r>
      <w:r w:rsidRPr="002A24FA">
        <w:rPr>
          <w:rFonts w:ascii="Times New Roman" w:hAnsi="Times New Roman"/>
          <w:sz w:val="24"/>
          <w:szCs w:val="24"/>
        </w:rPr>
        <w:t xml:space="preserve"> създава пряко приложим правен инструмент на Съюза -</w:t>
      </w:r>
      <w:r w:rsidRPr="002A24FA">
        <w:rPr>
          <w:sz w:val="24"/>
          <w:szCs w:val="24"/>
        </w:rPr>
        <w:t xml:space="preserve"> </w:t>
      </w:r>
      <w:r w:rsidRPr="002A24FA">
        <w:rPr>
          <w:rFonts w:ascii="Times New Roman" w:hAnsi="Times New Roman"/>
          <w:sz w:val="24"/>
          <w:szCs w:val="24"/>
        </w:rPr>
        <w:t xml:space="preserve">европейска заповед за запор на банкови сметки. Регламентът  установява европейска процедура при трансгранични дела, която дава възможност за ефикасно и бързо запориране на средства по банкови сметки. Наличие на трансгранично дело има, когато кредиторът е с местоживеене в една държава членка, а съдът и банковата сметка, подлежаща на запориране, се намират в друга държава членка или когато съдът, разглеждащ молба за заповед за запор, се намира в една държава членка, а банковата сметка – обект на заповедта за запор, е в друга държава членка. </w:t>
      </w:r>
    </w:p>
    <w:p w:rsidR="005918AE" w:rsidRPr="002A24FA" w:rsidRDefault="005918AE" w:rsidP="002A24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4FA">
        <w:rPr>
          <w:rFonts w:ascii="Times New Roman" w:hAnsi="Times New Roman"/>
          <w:sz w:val="24"/>
          <w:szCs w:val="24"/>
        </w:rPr>
        <w:t xml:space="preserve"> Регламент</w:t>
      </w:r>
      <w:r w:rsidR="00B3342C" w:rsidRPr="002A24FA">
        <w:rPr>
          <w:rFonts w:ascii="Times New Roman" w:hAnsi="Times New Roman"/>
          <w:sz w:val="24"/>
          <w:szCs w:val="24"/>
        </w:rPr>
        <w:t>ът</w:t>
      </w:r>
      <w:r w:rsidRPr="002A24FA">
        <w:rPr>
          <w:rFonts w:ascii="Times New Roman" w:hAnsi="Times New Roman"/>
          <w:sz w:val="24"/>
          <w:szCs w:val="24"/>
        </w:rPr>
        <w:t xml:space="preserve"> </w:t>
      </w:r>
      <w:r w:rsidR="00883FA4" w:rsidRPr="002A24FA">
        <w:rPr>
          <w:rFonts w:ascii="Times New Roman" w:hAnsi="Times New Roman"/>
          <w:sz w:val="24"/>
          <w:szCs w:val="24"/>
        </w:rPr>
        <w:t xml:space="preserve">започва да се прилага от 18 януари 2017 г. </w:t>
      </w:r>
      <w:r w:rsidR="00B3342C" w:rsidRPr="002A24FA">
        <w:rPr>
          <w:rFonts w:ascii="Times New Roman" w:hAnsi="Times New Roman"/>
          <w:sz w:val="24"/>
          <w:szCs w:val="24"/>
        </w:rPr>
        <w:t xml:space="preserve">Съгласно чл. 50 от </w:t>
      </w:r>
      <w:r w:rsidR="00977A67" w:rsidRPr="002A24FA">
        <w:rPr>
          <w:rFonts w:ascii="Times New Roman" w:hAnsi="Times New Roman"/>
          <w:sz w:val="24"/>
          <w:szCs w:val="24"/>
        </w:rPr>
        <w:t>него</w:t>
      </w:r>
      <w:r w:rsidR="00883FA4" w:rsidRPr="002A24FA">
        <w:rPr>
          <w:rFonts w:ascii="Times New Roman" w:hAnsi="Times New Roman"/>
          <w:sz w:val="24"/>
          <w:szCs w:val="24"/>
        </w:rPr>
        <w:t xml:space="preserve"> държавите членки са длъжни за изпратят информация на Европейската комисия</w:t>
      </w:r>
      <w:r w:rsidR="00B3342C" w:rsidRPr="002A24FA">
        <w:rPr>
          <w:rFonts w:ascii="Times New Roman" w:hAnsi="Times New Roman"/>
          <w:sz w:val="24"/>
          <w:szCs w:val="24"/>
        </w:rPr>
        <w:t xml:space="preserve"> (ЕК)</w:t>
      </w:r>
      <w:r w:rsidR="00883FA4" w:rsidRPr="002A24FA">
        <w:rPr>
          <w:rFonts w:ascii="Times New Roman" w:hAnsi="Times New Roman"/>
          <w:sz w:val="24"/>
          <w:szCs w:val="24"/>
        </w:rPr>
        <w:t>, свърз</w:t>
      </w:r>
      <w:r w:rsidR="00B3342C" w:rsidRPr="002A24FA">
        <w:rPr>
          <w:rFonts w:ascii="Times New Roman" w:hAnsi="Times New Roman"/>
          <w:sz w:val="24"/>
          <w:szCs w:val="24"/>
        </w:rPr>
        <w:t>ан</w:t>
      </w:r>
      <w:r w:rsidR="00883FA4" w:rsidRPr="002A24FA">
        <w:rPr>
          <w:rFonts w:ascii="Times New Roman" w:hAnsi="Times New Roman"/>
          <w:sz w:val="24"/>
          <w:szCs w:val="24"/>
        </w:rPr>
        <w:t>а с приложението на Регламента</w:t>
      </w:r>
      <w:r w:rsidR="00837487" w:rsidRPr="002A24FA">
        <w:rPr>
          <w:rFonts w:ascii="Times New Roman" w:hAnsi="Times New Roman"/>
          <w:sz w:val="24"/>
          <w:szCs w:val="24"/>
        </w:rPr>
        <w:t xml:space="preserve">, в която да посочат определените </w:t>
      </w:r>
      <w:r w:rsidR="00883FA4" w:rsidRPr="002A24FA">
        <w:rPr>
          <w:rFonts w:ascii="Times New Roman" w:hAnsi="Times New Roman"/>
          <w:sz w:val="24"/>
          <w:szCs w:val="24"/>
        </w:rPr>
        <w:t>компетентни органи по издаване и</w:t>
      </w:r>
      <w:r w:rsidR="00B3342C" w:rsidRPr="002A24FA">
        <w:rPr>
          <w:rFonts w:ascii="Times New Roman" w:hAnsi="Times New Roman"/>
          <w:sz w:val="24"/>
          <w:szCs w:val="24"/>
        </w:rPr>
        <w:t xml:space="preserve"> по</w:t>
      </w:r>
      <w:r w:rsidR="00883FA4" w:rsidRPr="002A24FA">
        <w:rPr>
          <w:rFonts w:ascii="Times New Roman" w:hAnsi="Times New Roman"/>
          <w:sz w:val="24"/>
          <w:szCs w:val="24"/>
        </w:rPr>
        <w:t xml:space="preserve"> изпълнение на </w:t>
      </w:r>
      <w:r w:rsidR="00B7138E" w:rsidRPr="002A24FA">
        <w:rPr>
          <w:rFonts w:ascii="Times New Roman" w:hAnsi="Times New Roman"/>
          <w:sz w:val="24"/>
          <w:szCs w:val="24"/>
        </w:rPr>
        <w:t>европейска заповед</w:t>
      </w:r>
      <w:r w:rsidR="00977A67" w:rsidRPr="002A24FA">
        <w:rPr>
          <w:rFonts w:ascii="Times New Roman" w:hAnsi="Times New Roman"/>
          <w:sz w:val="24"/>
          <w:szCs w:val="24"/>
        </w:rPr>
        <w:t xml:space="preserve"> за запор,</w:t>
      </w:r>
      <w:r w:rsidR="00883FA4" w:rsidRPr="002A24FA">
        <w:rPr>
          <w:rFonts w:ascii="Times New Roman" w:hAnsi="Times New Roman"/>
          <w:sz w:val="24"/>
          <w:szCs w:val="24"/>
        </w:rPr>
        <w:t xml:space="preserve"> орган</w:t>
      </w:r>
      <w:r w:rsidR="00837487" w:rsidRPr="002A24FA">
        <w:rPr>
          <w:rFonts w:ascii="Times New Roman" w:hAnsi="Times New Roman"/>
          <w:sz w:val="24"/>
          <w:szCs w:val="24"/>
        </w:rPr>
        <w:t>а</w:t>
      </w:r>
      <w:r w:rsidR="00B3342C" w:rsidRPr="002A24FA">
        <w:rPr>
          <w:rFonts w:ascii="Times New Roman" w:hAnsi="Times New Roman"/>
          <w:sz w:val="24"/>
          <w:szCs w:val="24"/>
        </w:rPr>
        <w:t>, компетентен да получава</w:t>
      </w:r>
      <w:r w:rsidR="00883FA4" w:rsidRPr="002A24FA">
        <w:rPr>
          <w:rFonts w:ascii="Times New Roman" w:hAnsi="Times New Roman"/>
          <w:sz w:val="24"/>
          <w:szCs w:val="24"/>
        </w:rPr>
        <w:t xml:space="preserve"> информаци</w:t>
      </w:r>
      <w:r w:rsidR="00B3342C" w:rsidRPr="002A24FA">
        <w:rPr>
          <w:rFonts w:ascii="Times New Roman" w:hAnsi="Times New Roman"/>
          <w:sz w:val="24"/>
          <w:szCs w:val="24"/>
        </w:rPr>
        <w:t>я за сметк</w:t>
      </w:r>
      <w:r w:rsidR="00837487" w:rsidRPr="002A24FA">
        <w:rPr>
          <w:rFonts w:ascii="Times New Roman" w:hAnsi="Times New Roman"/>
          <w:sz w:val="24"/>
          <w:szCs w:val="24"/>
        </w:rPr>
        <w:t>ите на длъжника</w:t>
      </w:r>
      <w:r w:rsidR="00B3342C" w:rsidRPr="002A24FA">
        <w:rPr>
          <w:rFonts w:ascii="Times New Roman" w:hAnsi="Times New Roman"/>
          <w:sz w:val="24"/>
          <w:szCs w:val="24"/>
        </w:rPr>
        <w:t>, тарифа</w:t>
      </w:r>
      <w:r w:rsidR="00837487" w:rsidRPr="002A24FA">
        <w:rPr>
          <w:rFonts w:ascii="Times New Roman" w:hAnsi="Times New Roman"/>
          <w:sz w:val="24"/>
          <w:szCs w:val="24"/>
        </w:rPr>
        <w:t>та</w:t>
      </w:r>
      <w:r w:rsidR="00B3342C" w:rsidRPr="002A24FA">
        <w:rPr>
          <w:rFonts w:ascii="Times New Roman" w:hAnsi="Times New Roman"/>
          <w:sz w:val="24"/>
          <w:szCs w:val="24"/>
        </w:rPr>
        <w:t xml:space="preserve"> за таксите и др. Срокът за уведомяване на ЕК е 18 юли 2016 г.</w:t>
      </w:r>
    </w:p>
    <w:p w:rsidR="005918AE" w:rsidRPr="002A24FA" w:rsidRDefault="00837487" w:rsidP="002A24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24FA">
        <w:rPr>
          <w:rFonts w:ascii="Times New Roman" w:hAnsi="Times New Roman"/>
          <w:sz w:val="24"/>
          <w:szCs w:val="24"/>
        </w:rPr>
        <w:t>Във връзка с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38FE" w:rsidRPr="002A24FA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B3342C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е предложена промяна в </w:t>
      </w:r>
      <w:r w:rsidR="008438FE" w:rsidRPr="002A24FA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аст седма </w:t>
      </w:r>
      <w:r w:rsidR="00883FA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на ГПК 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– създаване на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нова </w:t>
      </w:r>
      <w:r w:rsidR="008438FE" w:rsidRPr="002A24FA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лава петдесет и </w:t>
      </w:r>
      <w:r w:rsidR="00D72382" w:rsidRPr="002A24FA">
        <w:rPr>
          <w:rFonts w:ascii="Times New Roman" w:eastAsia="Times New Roman" w:hAnsi="Times New Roman"/>
          <w:sz w:val="24"/>
          <w:szCs w:val="24"/>
          <w:lang w:eastAsia="bg-BG"/>
        </w:rPr>
        <w:t>шеста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D72382" w:rsidRPr="002A24F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921065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с която се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предвижда</w:t>
      </w:r>
      <w:r w:rsidR="00883FA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>подходяща</w:t>
      </w:r>
      <w:r w:rsidR="00BF7E87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вътрешна уредба, </w:t>
      </w:r>
      <w:r w:rsidR="009D0579" w:rsidRPr="002A24FA">
        <w:rPr>
          <w:rFonts w:ascii="Times New Roman" w:eastAsia="Times New Roman" w:hAnsi="Times New Roman"/>
          <w:sz w:val="24"/>
          <w:szCs w:val="24"/>
          <w:lang w:eastAsia="bg-BG"/>
        </w:rPr>
        <w:t>улесняваща</w:t>
      </w:r>
      <w:r w:rsidR="00D8716F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918A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приложението на Регламента. </w:t>
      </w:r>
      <w:r w:rsidR="009D0579" w:rsidRPr="002A24FA">
        <w:rPr>
          <w:rFonts w:ascii="Times New Roman" w:eastAsia="Times New Roman" w:hAnsi="Times New Roman"/>
          <w:sz w:val="24"/>
          <w:szCs w:val="24"/>
          <w:lang w:eastAsia="bg-BG"/>
        </w:rPr>
        <w:t>С оглед на подробните правила</w:t>
      </w:r>
      <w:r w:rsidR="008438F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361B5">
        <w:rPr>
          <w:rFonts w:ascii="Times New Roman" w:eastAsia="Times New Roman" w:hAnsi="Times New Roman"/>
          <w:sz w:val="24"/>
          <w:szCs w:val="24"/>
          <w:lang w:eastAsia="bg-BG"/>
        </w:rPr>
        <w:t xml:space="preserve">въведени </w:t>
      </w:r>
      <w:r w:rsidR="009D0579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8438FE" w:rsidRPr="002A24FA">
        <w:rPr>
          <w:rFonts w:ascii="Times New Roman" w:eastAsia="Times New Roman" w:hAnsi="Times New Roman"/>
          <w:sz w:val="24"/>
          <w:szCs w:val="24"/>
          <w:lang w:eastAsia="bg-BG"/>
        </w:rPr>
        <w:t>него</w:t>
      </w:r>
      <w:r w:rsidR="009D0579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1361B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9D0579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прякото му приложение, в ГПК се предвижда минимална уредба относно европейската заповед </w:t>
      </w:r>
      <w:r w:rsidR="008438F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за запор, която конкретизира </w:t>
      </w:r>
      <w:r w:rsidR="009D0579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общите правила на ГПК във връзка със запора. </w:t>
      </w:r>
    </w:p>
    <w:p w:rsidR="00F77892" w:rsidRPr="002A24FA" w:rsidRDefault="009D0579" w:rsidP="002A24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24FA">
        <w:rPr>
          <w:rFonts w:ascii="Times New Roman" w:hAnsi="Times New Roman"/>
          <w:sz w:val="24"/>
          <w:szCs w:val="24"/>
        </w:rPr>
        <w:t xml:space="preserve">В чл. 618а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компетентен орган за издаване на европейска заповед за запор на банкови сметки </w:t>
      </w:r>
      <w:r w:rsidRPr="002A24FA">
        <w:rPr>
          <w:rFonts w:ascii="Times New Roman" w:hAnsi="Times New Roman"/>
          <w:sz w:val="24"/>
          <w:szCs w:val="24"/>
        </w:rPr>
        <w:t>се определя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20C4" w:rsidRPr="002A24FA">
        <w:rPr>
          <w:rFonts w:ascii="Times New Roman" w:eastAsia="Times New Roman" w:hAnsi="Times New Roman"/>
          <w:sz w:val="24"/>
          <w:szCs w:val="24"/>
          <w:lang w:eastAsia="bg-BG"/>
        </w:rPr>
        <w:t>първоинстанционния</w:t>
      </w:r>
      <w:r w:rsidR="00C361AC" w:rsidRPr="002A24F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E520C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съд, компетентен да разгледа спора по същество</w:t>
      </w:r>
      <w:r w:rsidR="008858B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нейното издаване се иска преди предявяване на спора по същество. Същата компетентност е предвидена в случаите на вече постановено съдебно решение</w:t>
      </w:r>
      <w:r w:rsidR="00E520C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Съгласно изискванията на чл. 5, буква а) от Регламента е п</w:t>
      </w:r>
      <w:r w:rsidR="00F77892" w:rsidRPr="002A24FA">
        <w:rPr>
          <w:rFonts w:ascii="Times New Roman" w:eastAsia="Times New Roman" w:hAnsi="Times New Roman"/>
          <w:sz w:val="24"/>
          <w:szCs w:val="24"/>
          <w:lang w:eastAsia="bg-BG"/>
        </w:rPr>
        <w:t>редви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дена</w:t>
      </w:r>
      <w:r w:rsidR="00F77892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възможност за искане за издаване на европейска заповед за запор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всяко положение на делото, включително </w:t>
      </w:r>
      <w:r w:rsidR="00C361AC" w:rsidRPr="002A24FA">
        <w:rPr>
          <w:rFonts w:ascii="Times New Roman" w:eastAsia="Times New Roman" w:hAnsi="Times New Roman"/>
          <w:sz w:val="24"/>
          <w:szCs w:val="24"/>
          <w:lang w:eastAsia="bg-BG"/>
        </w:rPr>
        <w:t>в рамките на касационното производство</w:t>
      </w:r>
      <w:r w:rsidR="008858B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, поради което това е изрично предвидено в ал. 3 на </w:t>
      </w:r>
      <w:r w:rsidR="001361B5">
        <w:rPr>
          <w:rFonts w:ascii="Times New Roman" w:eastAsia="Times New Roman" w:hAnsi="Times New Roman"/>
          <w:sz w:val="24"/>
          <w:szCs w:val="24"/>
          <w:lang w:eastAsia="bg-BG"/>
        </w:rPr>
        <w:t>член 618а.</w:t>
      </w:r>
      <w:r w:rsidR="00C845EB" w:rsidRPr="002A24FA">
        <w:rPr>
          <w:rFonts w:ascii="Times New Roman" w:eastAsia="Times New Roman" w:hAnsi="Times New Roman"/>
          <w:sz w:val="24"/>
          <w:szCs w:val="24"/>
          <w:lang w:eastAsia="bg-BG"/>
        </w:rPr>
        <w:t>Съгласно чл. 50, пар. 1 от Регламент (ЕС) № 655/2014 държавите членки</w:t>
      </w:r>
      <w:r w:rsidR="00C227D1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съобщят на Комисията</w:t>
      </w:r>
      <w:r w:rsidR="00C845EB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кои са определените от тях съдилища, които ще издават </w:t>
      </w:r>
      <w:r w:rsidR="002A24FA" w:rsidRPr="002A24FA">
        <w:rPr>
          <w:rFonts w:ascii="Times New Roman" w:eastAsia="Times New Roman" w:hAnsi="Times New Roman"/>
          <w:sz w:val="24"/>
          <w:szCs w:val="24"/>
          <w:lang w:eastAsia="bg-BG"/>
        </w:rPr>
        <w:t>европейската</w:t>
      </w:r>
      <w:r w:rsidR="00C845EB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заповед за запор, когато кред</w:t>
      </w:r>
      <w:r w:rsidR="00C227D1">
        <w:rPr>
          <w:rFonts w:ascii="Times New Roman" w:eastAsia="Times New Roman" w:hAnsi="Times New Roman"/>
          <w:sz w:val="24"/>
          <w:szCs w:val="24"/>
          <w:lang w:eastAsia="bg-BG"/>
        </w:rPr>
        <w:t>иторът е получил автентичен акт</w:t>
      </w:r>
      <w:r w:rsidR="00C845EB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смисъла на чл. 4, т. 10 от </w:t>
      </w:r>
      <w:r w:rsidR="00621284" w:rsidRPr="002A24FA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C845EB" w:rsidRPr="002A24FA">
        <w:rPr>
          <w:rFonts w:ascii="Times New Roman" w:eastAsia="Times New Roman" w:hAnsi="Times New Roman"/>
          <w:sz w:val="24"/>
          <w:szCs w:val="24"/>
          <w:lang w:eastAsia="bg-BG"/>
        </w:rPr>
        <w:t>егламента. В тази връзка е и изрично предвидената уредба на чл. 618а, ал. 2 в проекта.</w:t>
      </w:r>
      <w:r w:rsidR="008858B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7138E" w:rsidRPr="002A24FA" w:rsidRDefault="00B7138E" w:rsidP="002A24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20C4" w:rsidRPr="002A24FA" w:rsidRDefault="008438FE" w:rsidP="002A24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В чл. 618б е</w:t>
      </w:r>
      <w:r w:rsidR="00C361AC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посочен</w:t>
      </w:r>
      <w:r w:rsidR="00E520C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съд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ът, пред кой</w:t>
      </w:r>
      <w:r w:rsidR="00E520C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то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може </w:t>
      </w:r>
      <w:r w:rsidR="00E520C4" w:rsidRPr="002A24FA">
        <w:rPr>
          <w:rFonts w:ascii="Times New Roman" w:eastAsia="Times New Roman" w:hAnsi="Times New Roman"/>
          <w:sz w:val="24"/>
          <w:szCs w:val="24"/>
          <w:lang w:eastAsia="bg-BG"/>
        </w:rPr>
        <w:t>да се обжалва отказ</w:t>
      </w:r>
      <w:r w:rsidR="00C361AC" w:rsidRPr="002A24FA">
        <w:rPr>
          <w:rFonts w:ascii="Times New Roman" w:eastAsia="Times New Roman" w:hAnsi="Times New Roman"/>
          <w:sz w:val="24"/>
          <w:szCs w:val="24"/>
          <w:lang w:eastAsia="bg-BG"/>
        </w:rPr>
        <w:t>ът</w:t>
      </w:r>
      <w:r w:rsidR="00E520C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издаване на европейска заповед за налагане на запор върху банкови сметки съгласно изискването на Регламента</w:t>
      </w:r>
      <w:r w:rsidR="001B2FB3" w:rsidRPr="002A24F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520C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E104A" w:rsidRPr="002A24FA" w:rsidRDefault="00C361AC" w:rsidP="002A24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В чл. 618в</w:t>
      </w:r>
      <w:r w:rsidR="00BB6387" w:rsidRPr="002A24FA">
        <w:rPr>
          <w:rFonts w:ascii="Times New Roman" w:eastAsia="Times New Roman" w:hAnsi="Times New Roman"/>
          <w:sz w:val="24"/>
          <w:szCs w:val="24"/>
          <w:lang w:eastAsia="bg-BG"/>
        </w:rPr>
        <w:t>, ал.</w:t>
      </w:r>
      <w:r w:rsidR="00621284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B6387" w:rsidRPr="002A24F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38FE" w:rsidRPr="002A24FA">
        <w:rPr>
          <w:rFonts w:ascii="Times New Roman" w:eastAsia="Times New Roman" w:hAnsi="Times New Roman"/>
          <w:sz w:val="24"/>
          <w:szCs w:val="24"/>
          <w:lang w:eastAsia="bg-BG"/>
        </w:rPr>
        <w:t>се определя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информационен орган в</w:t>
      </w:r>
      <w:r w:rsidR="00DE104A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съответствие с</w:t>
      </w:r>
      <w:r w:rsidR="00E11C41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чл.14 от </w:t>
      </w:r>
      <w:r w:rsidR="00DE104A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Регламента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. Този орган е </w:t>
      </w:r>
      <w:r w:rsidR="00320C2E" w:rsidRPr="002A24FA">
        <w:rPr>
          <w:rFonts w:ascii="Times New Roman" w:eastAsia="Times New Roman" w:hAnsi="Times New Roman"/>
          <w:sz w:val="24"/>
          <w:szCs w:val="24"/>
          <w:lang w:eastAsia="bg-BG"/>
        </w:rPr>
        <w:t>оправомощен да получава от съда исканията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информация относно банков</w:t>
      </w:r>
      <w:r w:rsidR="00320C2E" w:rsidRPr="002A24F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20C2E" w:rsidRPr="002A24FA">
        <w:rPr>
          <w:rFonts w:ascii="Times New Roman" w:eastAsia="Times New Roman" w:hAnsi="Times New Roman"/>
          <w:sz w:val="24"/>
          <w:szCs w:val="24"/>
          <w:lang w:eastAsia="bg-BG"/>
        </w:rPr>
        <w:t>сметки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длъжника. </w:t>
      </w:r>
      <w:r w:rsidR="00320C2E" w:rsidRPr="002A24FA">
        <w:rPr>
          <w:rFonts w:ascii="Times New Roman" w:eastAsia="Times New Roman" w:hAnsi="Times New Roman"/>
          <w:sz w:val="24"/>
          <w:szCs w:val="24"/>
          <w:lang w:eastAsia="bg-BG"/>
        </w:rPr>
        <w:t>Производството по Р</w:t>
      </w:r>
      <w:r w:rsidR="00D11B39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егламента следва да е бързо и ефективно, поради което се налага определянето на </w:t>
      </w:r>
      <w:r w:rsidR="008438FE" w:rsidRPr="002A24FA">
        <w:rPr>
          <w:rFonts w:ascii="Times New Roman" w:eastAsia="Times New Roman" w:hAnsi="Times New Roman"/>
          <w:sz w:val="24"/>
          <w:szCs w:val="24"/>
          <w:lang w:eastAsia="bg-BG"/>
        </w:rPr>
        <w:t>единна точка за контакт, т.е.</w:t>
      </w:r>
      <w:r w:rsidR="00D11B39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централизиран орган на национално ниво за получаване на искания за банкови сметки</w:t>
      </w:r>
      <w:r w:rsidR="00320C2E" w:rsidRPr="002A24FA">
        <w:rPr>
          <w:rFonts w:ascii="Times New Roman" w:eastAsia="Times New Roman" w:hAnsi="Times New Roman"/>
          <w:sz w:val="24"/>
          <w:szCs w:val="24"/>
          <w:lang w:eastAsia="bg-BG"/>
        </w:rPr>
        <w:t>, който без забавяне ще предприема необходимите действия и ще предоставя исканата информация на запитващия съд</w:t>
      </w:r>
      <w:r w:rsidR="00D11B39" w:rsidRPr="002A24FA">
        <w:rPr>
          <w:rFonts w:ascii="Times New Roman" w:eastAsia="Times New Roman" w:hAnsi="Times New Roman"/>
          <w:sz w:val="24"/>
          <w:szCs w:val="24"/>
          <w:lang w:eastAsia="bg-BG"/>
        </w:rPr>
        <w:t>. Предложено е това да бъде</w:t>
      </w:r>
      <w:r w:rsidR="00D803B7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1B39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Държавната съдебно-изпълнителна служба </w:t>
      </w:r>
      <w:r w:rsidR="00D803B7" w:rsidRPr="002A24FA">
        <w:rPr>
          <w:rFonts w:ascii="Times New Roman" w:eastAsia="Times New Roman" w:hAnsi="Times New Roman"/>
          <w:sz w:val="24"/>
          <w:szCs w:val="24"/>
          <w:lang w:eastAsia="bg-BG"/>
        </w:rPr>
        <w:t>при Районен съд</w:t>
      </w:r>
      <w:r w:rsidR="006C0797" w:rsidRPr="002A24FA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D803B7" w:rsidRPr="002A24FA">
        <w:rPr>
          <w:rFonts w:ascii="Times New Roman" w:eastAsia="Times New Roman" w:hAnsi="Times New Roman"/>
          <w:sz w:val="24"/>
          <w:szCs w:val="24"/>
          <w:lang w:eastAsia="bg-BG"/>
        </w:rPr>
        <w:t>София</w:t>
      </w:r>
      <w:r w:rsidR="00621284" w:rsidRPr="002A24FA">
        <w:rPr>
          <w:rFonts w:ascii="Times New Roman" w:eastAsia="Times New Roman" w:hAnsi="Times New Roman"/>
          <w:sz w:val="24"/>
          <w:szCs w:val="24"/>
          <w:lang w:eastAsia="bg-BG"/>
        </w:rPr>
        <w:t>, респективно всеки съдебен изпълнител при Районен съд – София.</w:t>
      </w:r>
      <w:bookmarkStart w:id="0" w:name="_GoBack"/>
      <w:bookmarkEnd w:id="0"/>
    </w:p>
    <w:p w:rsidR="00CB1D1B" w:rsidRPr="002A24FA" w:rsidRDefault="008438FE" w:rsidP="002A24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За целите на Р</w:t>
      </w:r>
      <w:r w:rsidR="00CB1D1B" w:rsidRPr="002A24FA">
        <w:rPr>
          <w:rFonts w:ascii="Times New Roman" w:eastAsia="Times New Roman" w:hAnsi="Times New Roman"/>
          <w:sz w:val="24"/>
          <w:szCs w:val="24"/>
          <w:lang w:eastAsia="bg-BG"/>
        </w:rPr>
        <w:t>егламента (чл.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B1D1B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4, т. 14) е необходимо България да определи и уведоми ЕК за компетентен орган, който да получава </w:t>
      </w:r>
      <w:r w:rsidR="00B7138E" w:rsidRPr="002A24FA">
        <w:rPr>
          <w:rFonts w:ascii="Times New Roman" w:eastAsia="Times New Roman" w:hAnsi="Times New Roman"/>
          <w:sz w:val="24"/>
          <w:szCs w:val="24"/>
          <w:lang w:eastAsia="bg-BG"/>
        </w:rPr>
        <w:t>европейска заповед</w:t>
      </w:r>
      <w:r w:rsidR="00CB1D1B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запор </w:t>
      </w:r>
      <w:r w:rsidR="00BB6387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и други документи </w:t>
      </w:r>
      <w:r w:rsidR="00CB1D1B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от съда, да </w:t>
      </w:r>
      <w:r w:rsidR="00BB6387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ги </w:t>
      </w:r>
      <w:r w:rsidR="00CB1D1B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предава на банката за </w:t>
      </w:r>
      <w:r w:rsidR="00BB6387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 и да ги връчва на длъжника. Предвижда се този орган да бъде всеки съдебен изпълнител (чл.618в, ал. 1). </w:t>
      </w:r>
    </w:p>
    <w:p w:rsidR="00883979" w:rsidRPr="002A24FA" w:rsidRDefault="00BB6387" w:rsidP="002A24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В чл. 618г се предлага к</w:t>
      </w:r>
      <w:r w:rsidR="000F32FA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омпетентен орган по изпълнение на европейската заповед за налагане на запор върху банкови сметки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да </w:t>
      </w:r>
      <w:r w:rsidR="00C146A6" w:rsidRPr="002A24FA">
        <w:rPr>
          <w:rFonts w:ascii="Times New Roman" w:eastAsia="Times New Roman" w:hAnsi="Times New Roman"/>
          <w:sz w:val="24"/>
          <w:szCs w:val="24"/>
          <w:lang w:eastAsia="bg-BG"/>
        </w:rPr>
        <w:t>е съдебният изпълнител</w:t>
      </w:r>
      <w:r w:rsidR="00621284" w:rsidRPr="002A24FA">
        <w:rPr>
          <w:rFonts w:ascii="Times New Roman" w:eastAsia="Times New Roman" w:hAnsi="Times New Roman"/>
          <w:sz w:val="24"/>
          <w:szCs w:val="24"/>
          <w:lang w:eastAsia="bg-BG"/>
        </w:rPr>
        <w:t>, което решение е продиктувано от българската правна традиция</w:t>
      </w:r>
      <w:r w:rsidR="002A24FA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В ал. 2, 3 и 4 на член 618г са посочени действия</w:t>
      </w:r>
      <w:r w:rsidR="00B7138E" w:rsidRPr="002A24FA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, които се предприемат с оглед изпълнение на заповедта. В съответствие с изискванията на Регламента </w:t>
      </w:r>
      <w:r w:rsidR="00B7138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предвижда съдебният изпълнител да може да </w:t>
      </w:r>
      <w:r w:rsidR="00A920BB" w:rsidRPr="002A24FA">
        <w:rPr>
          <w:rFonts w:ascii="Times New Roman" w:eastAsia="Times New Roman" w:hAnsi="Times New Roman"/>
          <w:sz w:val="24"/>
          <w:szCs w:val="24"/>
          <w:lang w:eastAsia="bg-BG"/>
        </w:rPr>
        <w:t>предприем</w:t>
      </w:r>
      <w:r w:rsidR="00B7138E" w:rsidRPr="002A24F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A920BB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необходимите мерки за </w:t>
      </w:r>
      <w:r w:rsidR="00F70900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освобождаване на </w:t>
      </w:r>
      <w:r w:rsidR="00B7138E" w:rsidRPr="002A24FA">
        <w:rPr>
          <w:rFonts w:ascii="Times New Roman" w:eastAsia="Times New Roman" w:hAnsi="Times New Roman"/>
          <w:sz w:val="24"/>
          <w:szCs w:val="24"/>
          <w:lang w:eastAsia="bg-BG"/>
        </w:rPr>
        <w:t>средствата</w:t>
      </w:r>
      <w:r w:rsidR="00F70900" w:rsidRPr="002A24FA">
        <w:rPr>
          <w:rFonts w:ascii="Times New Roman" w:eastAsia="Times New Roman" w:hAnsi="Times New Roman"/>
          <w:sz w:val="24"/>
          <w:szCs w:val="24"/>
          <w:lang w:eastAsia="bg-BG"/>
        </w:rPr>
        <w:t>, превишава</w:t>
      </w:r>
      <w:r w:rsidR="00B7138E" w:rsidRPr="002A24FA">
        <w:rPr>
          <w:rFonts w:ascii="Times New Roman" w:eastAsia="Times New Roman" w:hAnsi="Times New Roman"/>
          <w:sz w:val="24"/>
          <w:szCs w:val="24"/>
          <w:lang w:eastAsia="bg-BG"/>
        </w:rPr>
        <w:t>щи</w:t>
      </w:r>
      <w:r w:rsidR="00F70900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сумата, посочена в заповедта за запор.</w:t>
      </w:r>
    </w:p>
    <w:p w:rsidR="00C146A6" w:rsidRPr="002A24FA" w:rsidRDefault="00B7138E" w:rsidP="002A24F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В чл. 618д са предвидени възможности за двете страни в производството да искат отмяна и изменение на европейската заповед за запор и изпълнението й на основанията, предвидени в чл.</w:t>
      </w:r>
      <w:r w:rsidR="008A5E4E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A24FA">
        <w:rPr>
          <w:rFonts w:ascii="Times New Roman" w:eastAsia="Times New Roman" w:hAnsi="Times New Roman"/>
          <w:sz w:val="24"/>
          <w:szCs w:val="24"/>
          <w:lang w:eastAsia="bg-BG"/>
        </w:rPr>
        <w:t>33-35 от Регламента,</w:t>
      </w:r>
      <w:r w:rsidR="00F70900" w:rsidRPr="002A24FA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е у</w:t>
      </w:r>
      <w:r w:rsidR="00F70900" w:rsidRPr="002A24FA">
        <w:rPr>
          <w:rFonts w:ascii="Times New Roman" w:hAnsi="Times New Roman"/>
          <w:bCs/>
          <w:sz w:val="24"/>
          <w:szCs w:val="24"/>
        </w:rPr>
        <w:t>реден</w:t>
      </w:r>
      <w:r w:rsidRPr="002A24FA">
        <w:rPr>
          <w:rFonts w:ascii="Times New Roman" w:hAnsi="Times New Roman"/>
          <w:bCs/>
          <w:sz w:val="24"/>
          <w:szCs w:val="24"/>
        </w:rPr>
        <w:t xml:space="preserve"> и</w:t>
      </w:r>
      <w:r w:rsidR="00F70900" w:rsidRPr="002A24FA">
        <w:rPr>
          <w:rFonts w:ascii="Times New Roman" w:hAnsi="Times New Roman"/>
          <w:bCs/>
          <w:sz w:val="24"/>
          <w:szCs w:val="24"/>
        </w:rPr>
        <w:t xml:space="preserve"> инстанционен контрол над актовете на първоинстанционния съд.</w:t>
      </w:r>
    </w:p>
    <w:p w:rsidR="006D2064" w:rsidRPr="002A24FA" w:rsidRDefault="00B7138E" w:rsidP="002A24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4FA">
        <w:rPr>
          <w:rFonts w:ascii="Times New Roman" w:hAnsi="Times New Roman"/>
          <w:sz w:val="24"/>
          <w:szCs w:val="24"/>
        </w:rPr>
        <w:t xml:space="preserve">Във връзка със задължението за уведомяване на ЕК за таксите, които ще се събират за </w:t>
      </w:r>
      <w:r w:rsidR="006D2064" w:rsidRPr="002A24FA">
        <w:rPr>
          <w:rFonts w:ascii="Times New Roman" w:hAnsi="Times New Roman"/>
          <w:sz w:val="24"/>
          <w:szCs w:val="24"/>
        </w:rPr>
        <w:t xml:space="preserve">изпълнение на </w:t>
      </w:r>
      <w:r w:rsidRPr="002A24FA">
        <w:rPr>
          <w:rFonts w:ascii="Times New Roman" w:hAnsi="Times New Roman"/>
          <w:sz w:val="24"/>
          <w:szCs w:val="24"/>
        </w:rPr>
        <w:t>европейска</w:t>
      </w:r>
      <w:r w:rsidR="006D2064" w:rsidRPr="002A24FA">
        <w:rPr>
          <w:rFonts w:ascii="Times New Roman" w:hAnsi="Times New Roman"/>
          <w:sz w:val="24"/>
          <w:szCs w:val="24"/>
        </w:rPr>
        <w:t>та</w:t>
      </w:r>
      <w:r w:rsidRPr="002A24FA">
        <w:rPr>
          <w:rFonts w:ascii="Times New Roman" w:hAnsi="Times New Roman"/>
          <w:sz w:val="24"/>
          <w:szCs w:val="24"/>
        </w:rPr>
        <w:t xml:space="preserve"> заповед за запор</w:t>
      </w:r>
      <w:r w:rsidR="006D2064" w:rsidRPr="002A24FA">
        <w:rPr>
          <w:rFonts w:ascii="Times New Roman" w:hAnsi="Times New Roman"/>
          <w:sz w:val="24"/>
          <w:szCs w:val="24"/>
        </w:rPr>
        <w:t xml:space="preserve">, се предвижда </w:t>
      </w:r>
      <w:r w:rsidR="008A5E4E">
        <w:rPr>
          <w:rFonts w:ascii="Times New Roman" w:hAnsi="Times New Roman"/>
          <w:sz w:val="24"/>
          <w:szCs w:val="24"/>
        </w:rPr>
        <w:t xml:space="preserve">до началната дата на приложение на </w:t>
      </w:r>
      <w:r w:rsidR="008A5E4E" w:rsidRPr="008A5E4E">
        <w:rPr>
          <w:rFonts w:ascii="Times New Roman" w:hAnsi="Times New Roman"/>
          <w:sz w:val="24"/>
          <w:szCs w:val="24"/>
        </w:rPr>
        <w:t>Регламент (ЕС) № 655/2014</w:t>
      </w:r>
      <w:r w:rsidR="008A5E4E">
        <w:rPr>
          <w:rFonts w:ascii="Times New Roman" w:hAnsi="Times New Roman"/>
          <w:sz w:val="24"/>
          <w:szCs w:val="24"/>
        </w:rPr>
        <w:t xml:space="preserve"> да се </w:t>
      </w:r>
      <w:r w:rsidR="002A24FA">
        <w:rPr>
          <w:rFonts w:ascii="Times New Roman" w:hAnsi="Times New Roman"/>
          <w:sz w:val="24"/>
          <w:szCs w:val="24"/>
        </w:rPr>
        <w:t>приема</w:t>
      </w:r>
      <w:r w:rsidR="008A5E4E">
        <w:rPr>
          <w:rFonts w:ascii="Times New Roman" w:hAnsi="Times New Roman"/>
          <w:sz w:val="24"/>
          <w:szCs w:val="24"/>
        </w:rPr>
        <w:t>т</w:t>
      </w:r>
      <w:r w:rsidR="006D2064" w:rsidRPr="002A24FA">
        <w:rPr>
          <w:rFonts w:ascii="Times New Roman" w:hAnsi="Times New Roman"/>
          <w:sz w:val="24"/>
          <w:szCs w:val="24"/>
        </w:rPr>
        <w:t xml:space="preserve"> изменения в Тарифата за държавните такси, които се събират от съдилищата по Гражданския процесуален кодекс и в Тарифата за таксите и разноските към Закона за частните съдебни изпълнители</w:t>
      </w:r>
      <w:r w:rsidRPr="002A24FA">
        <w:rPr>
          <w:rFonts w:ascii="Times New Roman" w:hAnsi="Times New Roman"/>
          <w:sz w:val="24"/>
          <w:szCs w:val="24"/>
        </w:rPr>
        <w:t xml:space="preserve">. </w:t>
      </w:r>
    </w:p>
    <w:p w:rsidR="00E520C4" w:rsidRPr="002A24FA" w:rsidRDefault="005646AB" w:rsidP="002A24F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24FA">
        <w:rPr>
          <w:rFonts w:ascii="Times New Roman" w:hAnsi="Times New Roman"/>
          <w:sz w:val="24"/>
          <w:szCs w:val="24"/>
        </w:rPr>
        <w:t>Предлаганата</w:t>
      </w:r>
      <w:r w:rsidR="006D2064" w:rsidRPr="002A24FA">
        <w:rPr>
          <w:rFonts w:ascii="Times New Roman" w:hAnsi="Times New Roman"/>
          <w:sz w:val="24"/>
          <w:szCs w:val="24"/>
        </w:rPr>
        <w:t xml:space="preserve"> уредба в ГПК ще допринесе за ефективно прилагане на  </w:t>
      </w:r>
      <w:r w:rsidRPr="002A24FA">
        <w:rPr>
          <w:rFonts w:ascii="Times New Roman" w:hAnsi="Times New Roman"/>
          <w:sz w:val="24"/>
          <w:szCs w:val="24"/>
        </w:rPr>
        <w:t xml:space="preserve">новия </w:t>
      </w:r>
      <w:r w:rsidR="006D2064" w:rsidRPr="002A24FA">
        <w:rPr>
          <w:rFonts w:ascii="Times New Roman" w:hAnsi="Times New Roman"/>
          <w:sz w:val="24"/>
          <w:szCs w:val="24"/>
        </w:rPr>
        <w:t>инструмент на ЕС</w:t>
      </w:r>
      <w:r w:rsidRPr="002A24FA">
        <w:rPr>
          <w:rFonts w:ascii="Times New Roman" w:hAnsi="Times New Roman"/>
          <w:sz w:val="24"/>
          <w:szCs w:val="24"/>
        </w:rPr>
        <w:t xml:space="preserve">, улесняващ трансграничното събиране на вземания. С нея се създават допълнителни възможности за кредитора за бързо запориране на средства по банкови сметки на длъжника на територията на целия Европейски съюз. В същото време тя предвижда достатъчно гаранции за защита правата на длъжника срещу злоупотреба от страна на кредитора. </w:t>
      </w:r>
    </w:p>
    <w:sectPr w:rsidR="00E520C4" w:rsidRPr="002A24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6D" w:rsidRDefault="007D096D" w:rsidP="00977A67">
      <w:pPr>
        <w:spacing w:after="0" w:line="240" w:lineRule="auto"/>
      </w:pPr>
      <w:r>
        <w:separator/>
      </w:r>
    </w:p>
  </w:endnote>
  <w:endnote w:type="continuationSeparator" w:id="0">
    <w:p w:rsidR="007D096D" w:rsidRDefault="007D096D" w:rsidP="0097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291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A67" w:rsidRPr="00977A67" w:rsidRDefault="00977A67" w:rsidP="00977A6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6D" w:rsidRDefault="007D096D" w:rsidP="00977A67">
      <w:pPr>
        <w:spacing w:after="0" w:line="240" w:lineRule="auto"/>
      </w:pPr>
      <w:r>
        <w:separator/>
      </w:r>
    </w:p>
  </w:footnote>
  <w:footnote w:type="continuationSeparator" w:id="0">
    <w:p w:rsidR="007D096D" w:rsidRDefault="007D096D" w:rsidP="0097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67" w:rsidRPr="00C367D9" w:rsidRDefault="00977A67">
    <w:pPr>
      <w:pStyle w:val="aa"/>
      <w:rPr>
        <w:rFonts w:ascii="Times New Roman" w:hAnsi="Times New Roman"/>
        <w:u w:val="single"/>
        <w:lang w:val="en-US"/>
      </w:rPr>
    </w:pPr>
    <w:r>
      <w:tab/>
    </w:r>
    <w:r>
      <w:tab/>
    </w:r>
    <w:r w:rsidR="00C367D9">
      <w:rPr>
        <w:rFonts w:ascii="Times New Roman" w:hAnsi="Times New Roman"/>
        <w:u w:val="single"/>
      </w:rPr>
      <w:t>Проект</w:t>
    </w:r>
  </w:p>
  <w:p w:rsidR="00977A67" w:rsidRDefault="00977A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E"/>
    <w:rsid w:val="0000743F"/>
    <w:rsid w:val="000A642E"/>
    <w:rsid w:val="000C5684"/>
    <w:rsid w:val="000D7519"/>
    <w:rsid w:val="000F32FA"/>
    <w:rsid w:val="001361B5"/>
    <w:rsid w:val="001B2FB3"/>
    <w:rsid w:val="002411CC"/>
    <w:rsid w:val="002A24FA"/>
    <w:rsid w:val="002B7FED"/>
    <w:rsid w:val="003140CC"/>
    <w:rsid w:val="00320C2E"/>
    <w:rsid w:val="003F1DB6"/>
    <w:rsid w:val="00413A17"/>
    <w:rsid w:val="00413CF1"/>
    <w:rsid w:val="004C2553"/>
    <w:rsid w:val="005646AB"/>
    <w:rsid w:val="005677CF"/>
    <w:rsid w:val="00575B0B"/>
    <w:rsid w:val="005918AE"/>
    <w:rsid w:val="005A1A43"/>
    <w:rsid w:val="005C286C"/>
    <w:rsid w:val="005D2AE2"/>
    <w:rsid w:val="005F0C29"/>
    <w:rsid w:val="00621284"/>
    <w:rsid w:val="00694691"/>
    <w:rsid w:val="006C0797"/>
    <w:rsid w:val="006D2064"/>
    <w:rsid w:val="007142C5"/>
    <w:rsid w:val="007521AF"/>
    <w:rsid w:val="007D096D"/>
    <w:rsid w:val="007E5566"/>
    <w:rsid w:val="00837487"/>
    <w:rsid w:val="008438FE"/>
    <w:rsid w:val="00847A87"/>
    <w:rsid w:val="00883979"/>
    <w:rsid w:val="00883FA4"/>
    <w:rsid w:val="008858B4"/>
    <w:rsid w:val="008A5E4E"/>
    <w:rsid w:val="00912369"/>
    <w:rsid w:val="00921065"/>
    <w:rsid w:val="00977A67"/>
    <w:rsid w:val="0098388C"/>
    <w:rsid w:val="009D0579"/>
    <w:rsid w:val="009E127D"/>
    <w:rsid w:val="00A344B0"/>
    <w:rsid w:val="00A414C8"/>
    <w:rsid w:val="00A920BB"/>
    <w:rsid w:val="00B3342C"/>
    <w:rsid w:val="00B7138E"/>
    <w:rsid w:val="00BB6387"/>
    <w:rsid w:val="00BF7E87"/>
    <w:rsid w:val="00C101D9"/>
    <w:rsid w:val="00C146A6"/>
    <w:rsid w:val="00C227D1"/>
    <w:rsid w:val="00C361AC"/>
    <w:rsid w:val="00C367D9"/>
    <w:rsid w:val="00C845EB"/>
    <w:rsid w:val="00CA2E7D"/>
    <w:rsid w:val="00CB1D1B"/>
    <w:rsid w:val="00D11B39"/>
    <w:rsid w:val="00D65591"/>
    <w:rsid w:val="00D71897"/>
    <w:rsid w:val="00D72382"/>
    <w:rsid w:val="00D803B7"/>
    <w:rsid w:val="00D85869"/>
    <w:rsid w:val="00D8716F"/>
    <w:rsid w:val="00DC0998"/>
    <w:rsid w:val="00DE104A"/>
    <w:rsid w:val="00E11C41"/>
    <w:rsid w:val="00E520C4"/>
    <w:rsid w:val="00E63327"/>
    <w:rsid w:val="00EC59B4"/>
    <w:rsid w:val="00F70900"/>
    <w:rsid w:val="00F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7892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C07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0797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C079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0797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C079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77A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977A6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77A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977A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7892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C07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0797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C079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0797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C079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77A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977A6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77A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977A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0A1C-7F55-4AB9-80E5-B4B72E80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Krumova</dc:creator>
  <cp:lastModifiedBy>Iva Krumova</cp:lastModifiedBy>
  <cp:revision>9</cp:revision>
  <cp:lastPrinted>2016-07-20T08:44:00Z</cp:lastPrinted>
  <dcterms:created xsi:type="dcterms:W3CDTF">2016-07-12T13:57:00Z</dcterms:created>
  <dcterms:modified xsi:type="dcterms:W3CDTF">2016-07-21T08:01:00Z</dcterms:modified>
</cp:coreProperties>
</file>